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Accessible placement agreement</w:t>
      </w:r>
    </w:p>
    <w:p>
      <w:pPr>
        <w:spacing w:after="120"/>
      </w:pPr>
      <w:r>
        <w:rPr>
          <w:b/>
          <w:bCs/>
          <w:color w:val="8A3D1E"/>
          <w:sz w:val="18"/>
          <w:szCs w:val="18"/>
        </w:rPr>
        <w:t xml:space="preserve">FOR A DISABLED TRAINEE, THEIR COURSE AND THEIR PLACEMENT</w:t>
      </w:r>
    </w:p>
    <w:p>
      <w:pPr>
        <w:spacing w:after="120"/>
      </w:pPr>
      <w:r>
        <w:t xml:space="preserve">Fill this in together, ideally the term before the placement starts. Parts marked “trainee” are written by, or in the words of, the trainee. No diagnosis is needed: this records what helps, not medical detail.</w:t>
      </w:r>
    </w:p>
    <w:p>
      <w:pPr>
        <w:spacing w:after="120"/>
      </w:pPr>
      <w:r>
        <w:rPr>
          <w:b/>
          <w:bCs/>
        </w:rPr>
        <w:t xml:space="preserve">Five principles: </w:t>
      </w:r>
      <w:r>
        <w:t xml:space="preserve">the learning outcome is fixed and the method can flex; describe what helps, not what’s wrong; access problems belong to institutions, not the trainee’s assessment; the trainee decides who knows what; the agreement travels and gets reviewed. The last page is a one-page access passport to take to future placements.</w:t>
      </w:r>
    </w:p>
    <w:p>
      <w:pPr>
        <w:pStyle w:val="Heading2"/>
      </w:pPr>
      <w:r>
        <w:t xml:space="preserve">1. Who’s involved</w:t>
      </w:r>
    </w:p>
    <w:p>
      <w:pPr>
        <w:spacing w:after="0" w:before="120"/>
      </w:pPr>
      <w:r>
        <w:rPr>
          <w:b/>
          <w:bCs/>
        </w:rPr>
        <w:t xml:space="preserve">Trainee</w:t>
      </w:r>
    </w:p>
    <w:p>
      <w:pPr>
        <w:pBdr>
          <w:bottom w:val="single" w:color="8A7F72" w:sz="6" w:space="1"/>
        </w:pBdr>
        <w:spacing w:after="60" w:before="200"/>
        <w:ind w:right="0"/>
      </w:pPr>
      <w:r>
        <w:t xml:space="preserve"> </w:t>
      </w:r>
    </w:p>
    <w:p>
      <w:pPr>
        <w:spacing w:after="0" w:before="120"/>
      </w:pPr>
      <w:r>
        <w:rPr>
          <w:b/>
          <w:bCs/>
        </w:rPr>
        <w:t xml:space="preserve">Course contact (name and role)</w:t>
      </w:r>
    </w:p>
    <w:p>
      <w:pPr>
        <w:pBdr>
          <w:bottom w:val="single" w:color="8A7F72" w:sz="6" w:space="1"/>
        </w:pBdr>
        <w:spacing w:after="60" w:before="200"/>
        <w:ind w:right="1"/>
      </w:pPr>
      <w:r>
        <w:t xml:space="preserve"> </w:t>
      </w:r>
    </w:p>
    <w:p>
      <w:pPr>
        <w:spacing w:after="0" w:before="120"/>
      </w:pPr>
      <w:r>
        <w:rPr>
          <w:b/>
          <w:bCs/>
        </w:rPr>
        <w:t xml:space="preserve">Placement contact and supervisor</w:t>
      </w:r>
    </w:p>
    <w:p>
      <w:pPr>
        <w:pBdr>
          <w:bottom w:val="single" w:color="8A7F72" w:sz="6" w:space="1"/>
        </w:pBdr>
        <w:spacing w:after="60" w:before="200"/>
        <w:ind w:right="0"/>
      </w:pPr>
      <w:r>
        <w:t xml:space="preserve"> </w:t>
      </w:r>
    </w:p>
    <w:p>
      <w:pPr>
        <w:spacing w:after="0" w:before="120"/>
      </w:pPr>
      <w:r>
        <w:rPr>
          <w:b/>
          <w:bCs/>
        </w:rPr>
        <w:t xml:space="preserve">Trainee’s neutral contact for access, outside the assessment line</w:t>
      </w:r>
    </w:p>
    <w:p>
      <w:pPr>
        <w:pBdr>
          <w:bottom w:val="single" w:color="8A7F72" w:sz="6" w:space="1"/>
        </w:pBdr>
        <w:spacing w:after="60" w:before="200"/>
        <w:ind w:right="1"/>
      </w:pPr>
      <w:r>
        <w:t xml:space="preserve"> </w:t>
      </w:r>
    </w:p>
    <w:p>
      <w:pPr>
        <w:spacing w:after="0" w:before="120"/>
      </w:pPr>
      <w:r>
        <w:rPr>
          <w:b/>
          <w:bCs/>
        </w:rPr>
        <w:t xml:space="preserve">Placement dates, and where it is</w:t>
      </w:r>
    </w:p>
    <w:p>
      <w:pPr>
        <w:pBdr>
          <w:bottom w:val="single" w:color="8A7F72" w:sz="6" w:space="1"/>
        </w:pBdr>
        <w:spacing w:after="60" w:before="200"/>
        <w:ind w:right="0"/>
      </w:pPr>
      <w:r>
        <w:t xml:space="preserve"> </w:t>
      </w:r>
    </w:p>
    <w:p>
      <w:pPr>
        <w:pStyle w:val="Heading2"/>
      </w:pPr>
      <w:r>
        <w:t xml:space="preserve">2. What the placement needs to achieve</w:t>
      </w:r>
    </w:p>
    <w:p>
      <w:pPr>
        <w:spacing w:after="120"/>
      </w:pPr>
      <w:r>
        <w:rPr>
          <w:i/>
          <w:iCs/>
          <w:color w:val="4B5B56"/>
          <w:sz w:val="21"/>
          <w:szCs w:val="21"/>
        </w:rPr>
        <w:t xml:space="preserve">Course and placement</w:t>
      </w:r>
    </w:p>
    <w:p>
      <w:pPr>
        <w:spacing w:after="0" w:before="120"/>
      </w:pPr>
      <w:r>
        <w:rPr>
          <w:b/>
          <w:bCs/>
        </w:rPr>
        <w:t xml:space="preserve">Required outcomes: hours, competencies, supervision</w:t>
      </w:r>
    </w:p>
    <w:p>
      <w:pPr>
        <w:pBdr>
          <w:bottom w:val="single" w:color="8A7F72" w:sz="6" w:space="1"/>
        </w:pBdr>
        <w:spacing w:after="60" w:before="200"/>
        <w:ind w:right="1"/>
      </w:pPr>
      <w:r>
        <w:t xml:space="preserve"> </w:t>
      </w:r>
    </w:p>
    <w:p>
      <w:pPr>
        <w:pBdr>
          <w:bottom w:val="single" w:color="8A7F72" w:sz="6" w:space="1"/>
        </w:pBdr>
        <w:spacing w:after="60" w:before="200"/>
        <w:ind w:right="0"/>
      </w:pPr>
      <w:r>
        <w:t xml:space="preserve"> </w:t>
      </w:r>
    </w:p>
    <w:p>
      <w:pPr>
        <w:spacing w:after="0" w:before="120"/>
      </w:pPr>
      <w:r>
        <w:rPr>
          <w:b/>
          <w:bCs/>
        </w:rPr>
        <w:t xml:space="preserve">What’s flexible about how these are reached</w:t>
      </w:r>
    </w:p>
    <w:p>
      <w:pPr>
        <w:pBdr>
          <w:bottom w:val="single" w:color="8A7F72" w:sz="6" w:space="1"/>
        </w:pBdr>
        <w:spacing w:after="60" w:before="200"/>
        <w:ind w:right="1"/>
      </w:pPr>
      <w:r>
        <w:t xml:space="preserve"> </w:t>
      </w:r>
    </w:p>
    <w:p>
      <w:pPr>
        <w:pBdr>
          <w:bottom w:val="single" w:color="8A7F72" w:sz="6" w:space="1"/>
        </w:pBdr>
        <w:spacing w:after="60" w:before="200"/>
        <w:ind w:right="0"/>
      </w:pPr>
      <w:r>
        <w:t xml:space="preserve"> </w:t>
      </w:r>
    </w:p>
    <w:p>
      <w:pPr>
        <w:pStyle w:val="Heading2"/>
      </w:pPr>
      <w:r>
        <w:t xml:space="preserve">3. What helps me learn and work well</w:t>
      </w:r>
    </w:p>
    <w:p>
      <w:pPr>
        <w:spacing w:after="120"/>
      </w:pPr>
      <w:r>
        <w:rPr>
          <w:i/>
          <w:iCs/>
          <w:color w:val="4B5B56"/>
          <w:sz w:val="21"/>
          <w:szCs w:val="21"/>
        </w:rPr>
        <w:t xml:space="preserve">Trainee. Tick what applies and add detail.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Step-free access to the building and rooms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An accessible toilet nearby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Seating, positioning or room layout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A quieter or low-sensory room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Breaks between sessions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A paced caseload or session length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Start and finish times that work with travel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Placement hours spread over a longer period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Some sessions online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Assistive technology or equipment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Written information in advance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Communication adjustments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Parking or transport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A personal emergency evacuation plan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Something else</w:t>
      </w:r>
    </w:p>
    <w:p>
      <w:pPr>
        <w:spacing w:after="0" w:before="120"/>
      </w:pPr>
      <w:r>
        <w:rPr>
          <w:b/>
          <w:bCs/>
        </w:rPr>
        <w:t xml:space="preserve">Details, in my words</w:t>
      </w:r>
    </w:p>
    <w:p>
      <w:pPr>
        <w:pBdr>
          <w:bottom w:val="single" w:color="8A7F72" w:sz="6" w:space="1"/>
        </w:pBdr>
        <w:spacing w:after="60" w:before="200"/>
        <w:ind w:right="1"/>
      </w:pPr>
      <w:r>
        <w:t xml:space="preserve"> </w:t>
      </w:r>
    </w:p>
    <w:p>
      <w:pPr>
        <w:pBdr>
          <w:bottom w:val="single" w:color="8A7F72" w:sz="6" w:space="1"/>
        </w:pBdr>
        <w:spacing w:after="60" w:before="200"/>
        <w:ind w:right="0"/>
      </w:pPr>
      <w:r>
        <w:t xml:space="preserve"> </w:t>
      </w:r>
    </w:p>
    <w:p>
      <w:pPr>
        <w:pBdr>
          <w:bottom w:val="single" w:color="8A7F72" w:sz="6" w:space="1"/>
        </w:pBdr>
        <w:spacing w:after="60" w:before="200"/>
        <w:ind w:right="1"/>
      </w:pPr>
      <w:r>
        <w:t xml:space="preserve"> </w:t>
      </w:r>
    </w:p>
    <w:p>
      <w:pPr>
        <w:spacing w:after="0" w:before="120"/>
      </w:pPr>
      <w:r>
        <w:rPr>
          <w:b/>
          <w:bCs/>
        </w:rPr>
        <w:t xml:space="preserve">What I bring to this placement, and what’s gone well before</w:t>
      </w:r>
    </w:p>
    <w:p>
      <w:pPr>
        <w:pBdr>
          <w:bottom w:val="single" w:color="8A7F72" w:sz="6" w:space="1"/>
        </w:pBdr>
        <w:spacing w:after="60" w:before="200"/>
        <w:ind w:right="0"/>
      </w:pPr>
      <w:r>
        <w:t xml:space="preserve"> </w:t>
      </w:r>
    </w:p>
    <w:p>
      <w:pPr>
        <w:pBdr>
          <w:bottom w:val="single" w:color="8A7F72" w:sz="6" w:space="1"/>
        </w:pBdr>
        <w:spacing w:after="60" w:before="200"/>
        <w:ind w:right="1"/>
      </w:pPr>
      <w:r>
        <w:t xml:space="preserve"> </w:t>
      </w:r>
    </w:p>
    <w:p>
      <w:pPr>
        <w:pStyle w:val="Heading2"/>
      </w:pPr>
      <w:r>
        <w:t xml:space="preserve">4. Who will do what, and by when</w:t>
      </w:r>
    </w:p>
    <w:p>
      <w:pPr>
        <w:spacing w:after="120"/>
      </w:pPr>
      <w:r>
        <w:rPr>
          <w:i/>
          <w:iCs/>
          <w:color w:val="4B5B56"/>
          <w:sz w:val="21"/>
          <w:szCs w:val="21"/>
        </w:rPr>
        <w:t xml:space="preserve">Everyone. Change the example rows to fit.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0"/>
        <w:gridCol w:w="2400"/>
        <w:gridCol w:w="2438"/>
      </w:tblGrid>
      <w:tr>
        <w:trPr>
          <w:tblHeader/>
        </w:trPr>
        <w:tc>
          <w:tcPr>
            <w:tcW w:type="dxa" w:w="4800"/>
            <w:shd w:fill="F1ECE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Action</w:t>
            </w:r>
          </w:p>
        </w:tc>
        <w:tc>
          <w:tcPr>
            <w:tcW w:type="dxa" w:w="2400"/>
            <w:shd w:fill="F1ECE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Who</w:t>
            </w:r>
          </w:p>
        </w:tc>
        <w:tc>
          <w:tcPr>
            <w:tcW w:type="dxa" w:w="2438"/>
            <w:shd w:fill="F1ECE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By when</w:t>
            </w:r>
          </w:p>
        </w:tc>
      </w:tr>
      <w:tr>
        <w:trPr>
          <w:tblHeader w:val="off"/>
        </w:trPr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>Check access to the building, rooms and toilets before day one, with a backup if a lift fails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>Placement</w:t>
            </w:r>
          </w:p>
        </w:tc>
        <w:tc>
          <w:tcPr>
            <w:tcW w:type="dxa" w:w="24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>Arrange any equipment, software or funding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>Course, with placement</w:t>
            </w:r>
          </w:p>
        </w:tc>
        <w:tc>
          <w:tcPr>
            <w:tcW w:type="dxa" w:w="24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>Include access arrangements in the induction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>Placement</w:t>
            </w:r>
          </w:p>
        </w:tc>
        <w:tc>
          <w:tcPr>
            <w:tcW w:type="dxa" w:w="24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>Agree the client cover plan (part 7)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>Placement, with trainee</w:t>
            </w:r>
          </w:p>
        </w:tc>
        <w:tc>
          <w:tcPr>
            <w:tcW w:type="dxa" w:w="24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>Tell other staff only what the trainee has agreed to share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>Placement</w:t>
            </w:r>
          </w:p>
        </w:tc>
        <w:tc>
          <w:tcPr>
            <w:tcW w:type="dxa" w:w="24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>Ongoing</w:t>
            </w:r>
          </w:p>
        </w:tc>
      </w:tr>
      <w:tr>
        <w:trPr>
          <w:tblHeader w:val="off"/>
        </w:trPr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>Say early when something isn’t working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>Trainee</w:t>
            </w:r>
          </w:p>
        </w:tc>
        <w:tc>
          <w:tcPr>
            <w:tcW w:type="dxa" w:w="24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>Any time</w:t>
            </w:r>
          </w:p>
        </w:tc>
      </w:tr>
      <w:tr>
        <w:trPr>
          <w:tblHeader w:val="off"/>
        </w:trPr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>Apply hours and attendance rules flexibly for disability-related absence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>Course</w:t>
            </w:r>
          </w:p>
        </w:tc>
        <w:tc>
          <w:tcPr>
            <w:tcW w:type="dxa" w:w="24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> </w:t>
            </w:r>
          </w:p>
        </w:tc>
      </w:tr>
      <w:tr>
        <w:trPr>
          <w:tblHeader w:val="off"/>
        </w:trPr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> </w:t>
            </w:r>
          </w:p>
        </w:tc>
      </w:tr>
      <w:tr>
        <w:trPr>
          <w:tblHeader w:val="off"/>
        </w:trPr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> </w:t>
            </w:r>
          </w:p>
        </w:tc>
        <w:tc>
          <w:tcPr>
            <w:tcW w:type="dxa" w:w="24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> </w:t>
            </w:r>
          </w:p>
        </w:tc>
      </w:tr>
    </w:tbl>
    <w:p>
      <w:pPr>
        <w:pStyle w:val="Heading2"/>
      </w:pPr>
      <w:r>
        <w:t xml:space="preserve">5. Who knows what</w:t>
      </w:r>
    </w:p>
    <w:p>
      <w:pPr>
        <w:spacing w:after="120"/>
      </w:pPr>
      <w:r>
        <w:rPr>
          <w:i/>
          <w:iCs/>
          <w:color w:val="4B5B56"/>
          <w:sz w:val="21"/>
          <w:szCs w:val="21"/>
        </w:rPr>
        <w:t xml:space="preserve">Trainee decides. Tick who may be told about these arrangements.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Placement supervisor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Placement manager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Reception or admin staff, for practical arrangements only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Other colleagues</w:t>
      </w:r>
    </w:p>
    <w:p>
      <w:pPr>
        <w:spacing w:after="0" w:before="120"/>
      </w:pPr>
      <w:r>
        <w:rPr>
          <w:b/>
          <w:bCs/>
        </w:rPr>
        <w:t xml:space="preserve">What, if anything, clients are told about my disability, and by whom (I decide)</w:t>
      </w:r>
    </w:p>
    <w:p>
      <w:pPr>
        <w:pBdr>
          <w:bottom w:val="single" w:color="8A7F72" w:sz="6" w:space="1"/>
        </w:pBdr>
        <w:spacing w:after="60" w:before="200"/>
        <w:ind w:right="0"/>
      </w:pPr>
      <w:r>
        <w:t xml:space="preserve"> </w:t>
      </w:r>
    </w:p>
    <w:p>
      <w:pPr>
        <w:pBdr>
          <w:bottom w:val="single" w:color="8A7F72" w:sz="6" w:space="1"/>
        </w:pBdr>
        <w:spacing w:after="60" w:before="200"/>
        <w:ind w:right="1"/>
      </w:pPr>
      <w:r>
        <w:t xml:space="preserve"> </w:t>
      </w:r>
    </w:p>
    <w:p>
      <w:pPr>
        <w:pStyle w:val="Heading2"/>
      </w:pPr>
      <w:r>
        <w:t xml:space="preserve">6. Fluctuation, appointments and absence</w:t>
      </w:r>
    </w:p>
    <w:p>
      <w:pPr>
        <w:spacing w:after="0" w:before="120"/>
      </w:pPr>
      <w:r>
        <w:rPr>
          <w:b/>
          <w:bCs/>
        </w:rPr>
        <w:t xml:space="preserve">If my needs change from day to day, or I have a flare-up, this is what happens</w:t>
      </w:r>
    </w:p>
    <w:p>
      <w:pPr>
        <w:pBdr>
          <w:bottom w:val="single" w:color="8A7F72" w:sz="6" w:space="1"/>
        </w:pBdr>
        <w:spacing w:after="60" w:before="200"/>
        <w:ind w:right="0"/>
      </w:pPr>
      <w:r>
        <w:t xml:space="preserve"> </w:t>
      </w:r>
    </w:p>
    <w:p>
      <w:pPr>
        <w:pBdr>
          <w:bottom w:val="single" w:color="8A7F72" w:sz="6" w:space="1"/>
        </w:pBdr>
        <w:spacing w:after="60" w:before="200"/>
        <w:ind w:right="1"/>
      </w:pPr>
      <w:r>
        <w:t xml:space="preserve"> </w:t>
      </w:r>
    </w:p>
    <w:p>
      <w:pPr>
        <w:spacing w:after="0" w:before="120"/>
      </w:pPr>
      <w:r>
        <w:rPr>
          <w:b/>
          <w:bCs/>
        </w:rPr>
        <w:t xml:space="preserve">How missed hours are made up</w:t>
      </w:r>
    </w:p>
    <w:p>
      <w:pPr>
        <w:pBdr>
          <w:bottom w:val="single" w:color="8A7F72" w:sz="6" w:space="1"/>
        </w:pBdr>
        <w:spacing w:after="60" w:before="200"/>
        <w:ind w:right="0"/>
      </w:pPr>
      <w:r>
        <w:t xml:space="preserve"> </w:t>
      </w:r>
    </w:p>
    <w:p>
      <w:pPr>
        <w:pBdr>
          <w:bottom w:val="single" w:color="8A7F72" w:sz="6" w:space="1"/>
        </w:pBdr>
        <w:spacing w:after="60" w:before="200"/>
        <w:ind w:right="1"/>
      </w:pPr>
      <w:r>
        <w:t xml:space="preserve"> 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We agree that disability-related absence, and problems caused by access barriers, will not be recorded as concerns about professionalism or engagement.</w:t>
      </w:r>
    </w:p>
    <w:p>
      <w:pPr>
        <w:pStyle w:val="Heading2"/>
      </w:pPr>
      <w:r>
        <w:t xml:space="preserve">7. Clients and continuity of care</w:t>
      </w:r>
    </w:p>
    <w:p>
      <w:pPr>
        <w:spacing w:after="120"/>
      </w:pPr>
      <w:r>
        <w:rPr>
          <w:i/>
          <w:iCs/>
          <w:color w:val="4B5B56"/>
          <w:sz w:val="21"/>
          <w:szCs w:val="21"/>
        </w:rPr>
        <w:t xml:space="preserve">Placement and trainee</w:t>
      </w:r>
    </w:p>
    <w:p>
      <w:pPr>
        <w:spacing w:after="0" w:before="120"/>
      </w:pPr>
      <w:r>
        <w:rPr>
          <w:b/>
          <w:bCs/>
        </w:rPr>
        <w:t xml:space="preserve">If I can’t attend, who contacts my clients, and by when</w:t>
      </w:r>
    </w:p>
    <w:p>
      <w:pPr>
        <w:pBdr>
          <w:bottom w:val="single" w:color="8A7F72" w:sz="6" w:space="1"/>
        </w:pBdr>
        <w:spacing w:after="60" w:before="200"/>
        <w:ind w:right="0"/>
      </w:pPr>
      <w:r>
        <w:t xml:space="preserve"> </w:t>
      </w:r>
    </w:p>
    <w:p>
      <w:pPr>
        <w:spacing w:after="0" w:before="120"/>
      </w:pPr>
      <w:r>
        <w:rPr>
          <w:b/>
          <w:bCs/>
        </w:rPr>
        <w:t xml:space="preserve">What clients are told (no health details)</w:t>
      </w:r>
    </w:p>
    <w:p>
      <w:pPr>
        <w:pBdr>
          <w:bottom w:val="single" w:color="8A7F72" w:sz="6" w:space="1"/>
        </w:pBdr>
        <w:spacing w:after="60" w:before="200"/>
        <w:ind w:right="1"/>
      </w:pPr>
      <w:r>
        <w:t xml:space="preserve"> </w:t>
      </w:r>
    </w:p>
    <w:p>
      <w:pPr>
        <w:spacing w:after="0" w:before="120"/>
      </w:pPr>
      <w:r>
        <w:rPr>
          <w:b/>
          <w:bCs/>
        </w:rPr>
        <w:t xml:space="preserve">Who supports a client in crisis while I’m away</w:t>
      </w:r>
    </w:p>
    <w:p>
      <w:pPr>
        <w:pBdr>
          <w:bottom w:val="single" w:color="8A7F72" w:sz="6" w:space="1"/>
        </w:pBdr>
        <w:spacing w:after="60" w:before="200"/>
        <w:ind w:right="0"/>
      </w:pPr>
      <w:r>
        <w:t xml:space="preserve"> </w:t>
      </w:r>
    </w:p>
    <w:p>
      <w:pPr>
        <w:spacing w:after="0" w:before="120"/>
      </w:pPr>
      <w:r>
        <w:rPr>
          <w:b/>
          <w:bCs/>
        </w:rPr>
        <w:t xml:space="preserve">If an absence becomes long: how the work is handed over or ended well</w:t>
      </w:r>
    </w:p>
    <w:p>
      <w:pPr>
        <w:pBdr>
          <w:bottom w:val="single" w:color="8A7F72" w:sz="6" w:space="1"/>
        </w:pBdr>
        <w:spacing w:after="60" w:before="200"/>
        <w:ind w:right="1"/>
      </w:pPr>
      <w:r>
        <w:t xml:space="preserve"> </w:t>
      </w:r>
    </w:p>
    <w:p>
      <w:pPr>
        <w:pBdr>
          <w:bottom w:val="single" w:color="8A7F72" w:sz="6" w:space="1"/>
        </w:pBdr>
        <w:spacing w:after="60" w:before="200"/>
        <w:ind w:right="0"/>
      </w:pPr>
      <w:r>
        <w:t xml:space="preserve"> </w:t>
      </w:r>
    </w:p>
    <w:p>
      <w:pPr>
        <w:spacing w:after="0" w:before="120"/>
      </w:pPr>
      <w:r>
        <w:rPr>
          <w:b/>
          <w:bCs/>
        </w:rPr>
        <w:t xml:space="preserve">How the person covering can reach what they need, while confidentiality is kept</w:t>
      </w:r>
    </w:p>
    <w:p>
      <w:pPr>
        <w:pBdr>
          <w:bottom w:val="single" w:color="8A7F72" w:sz="6" w:space="1"/>
        </w:pBdr>
        <w:spacing w:after="60" w:before="200"/>
        <w:ind w:right="1"/>
      </w:pPr>
      <w:r>
        <w:t xml:space="preserve"> </w:t>
      </w:r>
    </w:p>
    <w:p>
      <w:pPr>
        <w:pStyle w:val="Heading2"/>
      </w:pPr>
      <w:r>
        <w:t xml:space="preserve">8. Supervision and assessment</w:t>
      </w:r>
    </w:p>
    <w:p>
      <w:pPr>
        <w:spacing w:after="0" w:before="120"/>
      </w:pPr>
      <w:r>
        <w:rPr>
          <w:b/>
          <w:bCs/>
        </w:rPr>
        <w:t xml:space="preserve">Supervision format, length and anything that helps it work</w:t>
      </w:r>
    </w:p>
    <w:p>
      <w:pPr>
        <w:pBdr>
          <w:bottom w:val="single" w:color="8A7F72" w:sz="6" w:space="1"/>
        </w:pBdr>
        <w:spacing w:after="60" w:before="200"/>
        <w:ind w:right="0"/>
      </w:pPr>
      <w:r>
        <w:t xml:space="preserve"> </w:t>
      </w:r>
    </w:p>
    <w:p>
      <w:pPr>
        <w:pBdr>
          <w:bottom w:val="single" w:color="8A7F72" w:sz="6" w:space="1"/>
        </w:pBdr>
        <w:spacing w:after="60" w:before="200"/>
        <w:ind w:right="1"/>
      </w:pPr>
      <w:r>
        <w:t xml:space="preserve"> 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Supervision is a place where disability-related experiences can be discussed, including clients’ reactions and my own.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Access reviews are held separately from assessment meetings, and aren’t written into my assessment.</w:t>
      </w:r>
    </w:p>
    <w:p>
      <w:pPr>
        <w:spacing w:after="80"/>
        <w:ind w:left="360" w:hanging="360"/>
      </w:pPr>
      <w:r>
        <w:rPr>
          <w:sz w:val="26"/>
          <w:szCs w:val="26"/>
        </w:rPr>
        <w:t xml:space="preserve">☐  </w:t>
      </w:r>
      <w:r>
        <w:t xml:space="preserve">I know how to raise it if I think access issues have affected my assessment.</w:t>
      </w:r>
    </w:p>
    <w:p>
      <w:pPr>
        <w:pStyle w:val="Heading2"/>
      </w:pPr>
      <w:r>
        <w:t xml:space="preserve">9. When something isn’t working</w:t>
      </w:r>
    </w:p>
    <w:p>
      <w:pPr>
        <w:spacing w:after="0" w:before="120"/>
      </w:pPr>
      <w:r>
        <w:rPr>
          <w:b/>
          <w:bCs/>
        </w:rPr>
        <w:t xml:space="preserve">First, contact</w:t>
      </w:r>
    </w:p>
    <w:p>
      <w:pPr>
        <w:pBdr>
          <w:bottom w:val="single" w:color="8A7F72" w:sz="6" w:space="1"/>
        </w:pBdr>
        <w:spacing w:after="60" w:before="200"/>
        <w:ind w:right="0"/>
      </w:pPr>
      <w:r>
        <w:t xml:space="preserve"> </w:t>
      </w:r>
    </w:p>
    <w:p>
      <w:pPr>
        <w:spacing w:after="0" w:before="120"/>
      </w:pPr>
      <w:r>
        <w:rPr>
          <w:b/>
          <w:bCs/>
        </w:rPr>
        <w:t xml:space="preserve">If that doesn’t resolve it, contact</w:t>
      </w:r>
    </w:p>
    <w:p>
      <w:pPr>
        <w:pBdr>
          <w:bottom w:val="single" w:color="8A7F72" w:sz="6" w:space="1"/>
        </w:pBdr>
        <w:spacing w:after="60" w:before="200"/>
        <w:ind w:right="1"/>
      </w:pPr>
      <w:r>
        <w:t xml:space="preserve"> </w:t>
      </w:r>
    </w:p>
    <w:p>
      <w:pPr>
        <w:spacing w:after="0" w:before="120"/>
      </w:pPr>
      <w:r>
        <w:rPr>
          <w:b/>
          <w:bCs/>
        </w:rPr>
        <w:t xml:space="preserve">We aim to respond within</w:t>
      </w:r>
    </w:p>
    <w:p>
      <w:pPr>
        <w:pBdr>
          <w:bottom w:val="single" w:color="8A7F72" w:sz="6" w:space="1"/>
        </w:pBdr>
        <w:spacing w:after="60" w:before="200"/>
        <w:ind w:right="0"/>
      </w:pPr>
      <w:r>
        <w:t xml:space="preserve"> </w:t>
      </w:r>
    </w:p>
    <w:p>
      <w:pPr>
        <w:pStyle w:val="Heading2"/>
      </w:pPr>
      <w:r>
        <w:t xml:space="preserve">10. Review</w:t>
      </w:r>
    </w:p>
    <w:p>
      <w:pPr>
        <w:spacing w:after="0" w:before="120"/>
      </w:pPr>
      <w:r>
        <w:rPr>
          <w:b/>
          <w:bCs/>
        </w:rPr>
        <w:t xml:space="preserve">First-week check, midway review and end review dates</w:t>
      </w:r>
    </w:p>
    <w:p>
      <w:pPr>
        <w:pBdr>
          <w:bottom w:val="single" w:color="8A7F72" w:sz="6" w:space="1"/>
        </w:pBdr>
        <w:spacing w:after="60" w:before="200"/>
        <w:ind w:right="1"/>
      </w:pPr>
      <w:r>
        <w:t xml:space="preserve"> </w:t>
      </w:r>
    </w:p>
    <w:p>
      <w:pPr>
        <w:spacing w:after="0" w:before="120"/>
      </w:pPr>
      <w:r>
        <w:rPr>
          <w:b/>
          <w:bCs/>
        </w:rPr>
        <w:t xml:space="preserve">What carries over to the next placement (add it to the access passport)</w:t>
      </w:r>
    </w:p>
    <w:p>
      <w:pPr>
        <w:pBdr>
          <w:bottom w:val="single" w:color="8A7F72" w:sz="6" w:space="1"/>
        </w:pBdr>
        <w:spacing w:after="60" w:before="200"/>
        <w:ind w:right="0"/>
      </w:pPr>
      <w:r>
        <w:t xml:space="preserve"> </w:t>
      </w:r>
    </w:p>
    <w:p>
      <w:pPr>
        <w:spacing w:after="0" w:before="120"/>
      </w:pPr>
      <w:r>
        <w:rPr>
          <w:b/>
          <w:bCs/>
        </w:rPr>
        <w:t xml:space="preserve">Agreed by (names and date)</w:t>
      </w:r>
    </w:p>
    <w:p>
      <w:pPr>
        <w:pBdr>
          <w:bottom w:val="single" w:color="8A7F72" w:sz="6" w:space="1"/>
        </w:pBdr>
        <w:spacing w:after="60" w:before="200"/>
        <w:ind w:right="1"/>
      </w:pPr>
      <w:r>
        <w:t xml:space="preserve"> </w:t>
      </w:r>
    </w:p>
    <w:p>
      <w:pPr>
        <w:spacing w:after="120"/>
      </w:pPr>
      <w:r>
        <w:rPr>
          <w:color w:val="4B5B56"/>
          <w:sz w:val="20"/>
          <w:szCs w:val="20"/>
        </w:rPr>
        <w:t xml:space="preserve">This agreement isn’t a legal contract and doesn’t replace your course’s disability procedures, fitness-to-practise processes or legal duties. Keep it secure and share it only with the people named in part 5.</w:t>
      </w:r>
    </w:p>
    <w:p>
      <w:pPr>
        <w:pStyle w:val="Heading1"/>
        <w:pageBreakBefore/>
      </w:pPr>
      <w:r>
        <w:t xml:space="preserve">My placement access passport</w:t>
      </w:r>
    </w:p>
    <w:p>
      <w:pPr>
        <w:spacing w:after="120"/>
      </w:pPr>
      <w:r>
        <w:t xml:space="preserve">A one-page summary the trainee keeps and shares with each new placement or supervisor. The trainee owns it and decides who sees it. No diagnosis needed.</w:t>
      </w:r>
    </w:p>
    <w:p>
      <w:pPr>
        <w:spacing w:after="0" w:before="120"/>
      </w:pPr>
      <w:r>
        <w:rPr>
          <w:b/>
          <w:bCs/>
        </w:rPr>
        <w:t xml:space="preserve">My name, course and stage of training</w:t>
      </w:r>
    </w:p>
    <w:p>
      <w:pPr>
        <w:pBdr>
          <w:bottom w:val="single" w:color="8A7F72" w:sz="6" w:space="1"/>
        </w:pBdr>
        <w:spacing w:after="60" w:before="200"/>
        <w:ind w:right="0"/>
      </w:pPr>
      <w:r>
        <w:t xml:space="preserve"> </w:t>
      </w:r>
    </w:p>
    <w:p>
      <w:pPr>
        <w:spacing w:after="0" w:before="120"/>
      </w:pPr>
      <w:r>
        <w:rPr>
          <w:b/>
          <w:bCs/>
        </w:rPr>
        <w:t xml:space="preserve">How I work best: the three to five things that help most</w:t>
      </w:r>
    </w:p>
    <w:p>
      <w:pPr>
        <w:pBdr>
          <w:bottom w:val="single" w:color="8A7F72" w:sz="6" w:space="1"/>
        </w:pBdr>
        <w:spacing w:after="60" w:before="200"/>
        <w:ind w:right="1"/>
      </w:pPr>
      <w:r>
        <w:t xml:space="preserve"> </w:t>
      </w:r>
    </w:p>
    <w:p>
      <w:pPr>
        <w:pBdr>
          <w:bottom w:val="single" w:color="8A7F72" w:sz="6" w:space="1"/>
        </w:pBdr>
        <w:spacing w:after="60" w:before="200"/>
        <w:ind w:right="0"/>
      </w:pPr>
      <w:r>
        <w:t xml:space="preserve"> </w:t>
      </w:r>
    </w:p>
    <w:p>
      <w:pPr>
        <w:pBdr>
          <w:bottom w:val="single" w:color="8A7F72" w:sz="6" w:space="1"/>
        </w:pBdr>
        <w:spacing w:after="60" w:before="200"/>
        <w:ind w:right="1"/>
      </w:pPr>
      <w:r>
        <w:t xml:space="preserve"> </w:t>
      </w:r>
    </w:p>
    <w:p>
      <w:pPr>
        <w:pBdr>
          <w:bottom w:val="single" w:color="8A7F72" w:sz="6" w:space="1"/>
        </w:pBdr>
        <w:spacing w:after="60" w:before="200"/>
        <w:ind w:right="0"/>
      </w:pPr>
      <w:r>
        <w:t xml:space="preserve"> </w:t>
      </w:r>
    </w:p>
    <w:p>
      <w:pPr>
        <w:spacing w:after="0" w:before="120"/>
      </w:pPr>
      <w:r>
        <w:rPr>
          <w:b/>
          <w:bCs/>
        </w:rPr>
        <w:t xml:space="preserve">What I’d like you to know about working with me</w:t>
      </w:r>
    </w:p>
    <w:p>
      <w:pPr>
        <w:pBdr>
          <w:bottom w:val="single" w:color="8A7F72" w:sz="6" w:space="1"/>
        </w:pBdr>
        <w:spacing w:after="60" w:before="200"/>
        <w:ind w:right="1"/>
      </w:pPr>
      <w:r>
        <w:t xml:space="preserve"> </w:t>
      </w:r>
    </w:p>
    <w:p>
      <w:pPr>
        <w:pBdr>
          <w:bottom w:val="single" w:color="8A7F72" w:sz="6" w:space="1"/>
        </w:pBdr>
        <w:spacing w:after="60" w:before="200"/>
        <w:ind w:right="0"/>
      </w:pPr>
      <w:r>
        <w:t xml:space="preserve"> </w:t>
      </w:r>
    </w:p>
    <w:p>
      <w:pPr>
        <w:spacing w:after="0" w:before="120"/>
      </w:pPr>
      <w:r>
        <w:rPr>
          <w:b/>
          <w:bCs/>
        </w:rPr>
        <w:t xml:space="preserve">What I bring to the work</w:t>
      </w:r>
    </w:p>
    <w:p>
      <w:pPr>
        <w:pBdr>
          <w:bottom w:val="single" w:color="8A7F72" w:sz="6" w:space="1"/>
        </w:pBdr>
        <w:spacing w:after="60" w:before="200"/>
        <w:ind w:right="1"/>
      </w:pPr>
      <w:r>
        <w:t xml:space="preserve"> </w:t>
      </w:r>
    </w:p>
    <w:p>
      <w:pPr>
        <w:pBdr>
          <w:bottom w:val="single" w:color="8A7F72" w:sz="6" w:space="1"/>
        </w:pBdr>
        <w:spacing w:after="60" w:before="200"/>
        <w:ind w:right="0"/>
      </w:pPr>
      <w:r>
        <w:t xml:space="preserve"> </w:t>
      </w:r>
    </w:p>
    <w:p>
      <w:pPr>
        <w:spacing w:after="0" w:before="120"/>
      </w:pPr>
      <w:r>
        <w:rPr>
          <w:b/>
          <w:bCs/>
        </w:rPr>
        <w:t xml:space="preserve">If I’m unexpectedly unwell, the client cover plan that has worked before</w:t>
      </w:r>
    </w:p>
    <w:p>
      <w:pPr>
        <w:pBdr>
          <w:bottom w:val="single" w:color="8A7F72" w:sz="6" w:space="1"/>
        </w:pBdr>
        <w:spacing w:after="60" w:before="200"/>
        <w:ind w:right="1"/>
      </w:pPr>
      <w:r>
        <w:t xml:space="preserve"> </w:t>
      </w:r>
    </w:p>
    <w:p>
      <w:pPr>
        <w:pBdr>
          <w:bottom w:val="single" w:color="8A7F72" w:sz="6" w:space="1"/>
        </w:pBdr>
        <w:spacing w:after="60" w:before="200"/>
        <w:ind w:right="0"/>
      </w:pPr>
      <w:r>
        <w:t xml:space="preserve"> </w:t>
      </w:r>
    </w:p>
    <w:p>
      <w:pPr>
        <w:spacing w:after="0" w:before="120"/>
      </w:pPr>
      <w:r>
        <w:rPr>
          <w:b/>
          <w:bCs/>
        </w:rPr>
        <w:t xml:space="preserve">How I prefer problems to be raised with me, and how I’ll raise them with you</w:t>
      </w:r>
    </w:p>
    <w:p>
      <w:pPr>
        <w:pBdr>
          <w:bottom w:val="single" w:color="8A7F72" w:sz="6" w:space="1"/>
        </w:pBdr>
        <w:spacing w:after="60" w:before="200"/>
        <w:ind w:right="1"/>
      </w:pPr>
      <w:r>
        <w:t xml:space="preserve"> </w:t>
      </w:r>
    </w:p>
    <w:p>
      <w:pPr>
        <w:spacing w:after="0" w:before="120"/>
      </w:pPr>
      <w:r>
        <w:rPr>
          <w:b/>
          <w:bCs/>
        </w:rPr>
        <w:t xml:space="preserve">Last updated</w:t>
      </w:r>
    </w:p>
    <w:p>
      <w:pPr>
        <w:pBdr>
          <w:bottom w:val="single" w:color="8A7F72" w:sz="6" w:space="1"/>
        </w:pBdr>
        <w:spacing w:after="60" w:before="200"/>
        <w:ind w:right="0"/>
      </w:pPr>
      <w:r>
        <w:t xml:space="preserve"> </w:t>
      </w:r>
    </w:p>
    <w:p>
      <w:pPr>
        <w:spacing w:after="120"/>
      </w:pPr>
      <w:r>
        <w:rPr>
          <w:color w:val="4B5B56"/>
          <w:sz w:val="20"/>
          <w:szCs w:val="20"/>
        </w:rPr>
        <w:t xml:space="preserve">Full guide and worked examples: disabilityinpsychotherapy.online/the-disabled-therapist/accessible-placement-agreement/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B5B56"/>
        <w:sz w:val="16"/>
        <w:szCs w:val="16"/>
      </w:rPr>
      <w:t xml:space="preserve">Donaghey, C. (2026). Accessible placement agreement. Disability in Psychotherapy. Shared under CC BY-NC 4.0, with an extra permission to teach from it on fee-paying courses. disabilityinpsychotherapy.online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4"/>
        <w:szCs w:val="24"/>
      </w:rPr>
    </w:rPrDefault>
    <w:pPrDefault>
      <w:pPr>
        <w:spacing w:line="30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120"/>
      <w:outlineLvl w:val="0"/>
    </w:pPr>
    <w:rPr>
      <w:rFonts w:ascii="Georgia" w:cs="Georgia" w:eastAsia="Georgia" w:hAnsi="Georgia"/>
      <w:color w:val="17322E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after="80" w:before="320"/>
      <w:outlineLvl w:val="1"/>
    </w:pPr>
    <w:rPr>
      <w:b/>
      <w:bCs/>
      <w:color w:val="17322E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Accessible placement agreement</dc:title>
  <dc:creator>Casey Donaghey, Disability in Psychotherapy</dc:creator>
  <cp:lastModifiedBy>Un-named</cp:lastModifiedBy>
  <cp:revision>1</cp:revision>
  <dcterms:created xsi:type="dcterms:W3CDTF">2026-11-01T23:15:33.373Z</dcterms:created>
  <dcterms:modified xsi:type="dcterms:W3CDTF">2026-11-01T23:15:33.374Z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