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color w:val="17322E"/>
          <w:sz w:val="32"/>
          <w:szCs w:val="32"/>
        </w:rPr>
        <w:t xml:space="preserve">Programme review: questions and action plan</w:t>
      </w:r>
    </w:p>
    <w:p>
      <w:pPr>
        <w:spacing w:after="200"/>
      </w:pPr>
      <w:r>
        <w:t xml:space="preserve">Six questions for reviewing how a psychotherapy or counselling training programme includes disabled trainees. Record what you find, what you will change, and who is responsible. Our framework: these questions are this site’s own, and have not been formally evaluated.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Question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Barrier identified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Evidence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Agreed change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Responsible person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Resources needed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Review date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8"/>
                <w:szCs w:val="18"/>
              </w:rPr>
              <w:t xml:space="preserve">Disabled learner feedback</w:t>
            </w:r>
          </w:p>
        </w:tc>
      </w:tr>
      <w:tr>
        <w:trPr>
          <w:trHeight w:val="1400" w:hRule="atLeast"/>
        </w:trPr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Attendance: does the policy tell the difference between a fluctuating or predictable absence and disengagement?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trHeight w:val="1400" w:hRule="atLeast"/>
        </w:trPr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Case material: do disabled clients or clinicians appear anywhere outside a disability-specific module?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trHeight w:val="1400" w:hRule="atLeast"/>
        </w:trPr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Experiential exercises: does every exercise have an alternative, offered by default rather than only on request?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trHeight w:val="1400" w:hRule="atLeast"/>
        </w:trPr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Supervision: do supervisors have language for disability-related countertransference before it shows up unplanned?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trHeight w:val="1400" w:hRule="atLeast"/>
        </w:trPr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Adjustments: can a trainee get a reasonable adjustment without first having to disclose a diagnosis?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trHeight w:val="1400" w:hRule="atLeast"/>
        </w:trPr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Listening: have you asked disabled trainees and alumni what the programme’s structure taught them, whatever it stated?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spacing w:before="300"/>
      </w:pPr>
      <w:r>
        <w:rPr>
          <w:color w:val="555555"/>
          <w:sz w:val="18"/>
          <w:szCs w:val="18"/>
        </w:rPr>
        <w:t xml:space="preserve">From For Trainers and Course Leaders, Disability in Psychotherapy (disabilityinpsychotherapy.online/for-trainers-and-course-leaders/). Shared under CC BY-NC 4.0, with an extra permission to use it in teaching and programme review on fee-paying courses.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review: questions and action plan</dc:title>
  <dc:creator>Casey Donaghey</dc:creator>
  <cp:lastModifiedBy>Un-named</cp:lastModifiedBy>
  <cp:revision>1</cp:revision>
  <dcterms:created xsi:type="dcterms:W3CDTF">2026-10-12T13:56:17.003Z</dcterms:created>
  <dcterms:modified xsi:type="dcterms:W3CDTF">2026-10-12T13:56:17.003Z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